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DB94E" w14:textId="3EE5C646" w:rsidR="00D11A60" w:rsidRPr="00ED3E69" w:rsidRDefault="00445538" w:rsidP="00197998">
      <w:pPr>
        <w:rPr>
          <w:rFonts w:ascii="Tw Cen MT" w:hAnsi="Tw Cen MT" w:cstheme="minorHAnsi"/>
          <w:b/>
          <w:bCs/>
          <w:sz w:val="28"/>
          <w:szCs w:val="28"/>
        </w:rPr>
      </w:pPr>
      <w:r w:rsidRPr="00ED3E69">
        <w:rPr>
          <w:rFonts w:ascii="Tw Cen MT" w:hAnsi="Tw Cen MT" w:cstheme="minorHAnsi"/>
          <w:b/>
          <w:bCs/>
          <w:sz w:val="28"/>
          <w:szCs w:val="28"/>
        </w:rPr>
        <w:t xml:space="preserve">Colton Hills </w:t>
      </w:r>
      <w:r w:rsidR="00E25346" w:rsidRPr="00ED3E69">
        <w:rPr>
          <w:rFonts w:ascii="Tw Cen MT" w:hAnsi="Tw Cen MT" w:cstheme="minorHAnsi"/>
          <w:b/>
          <w:bCs/>
          <w:sz w:val="28"/>
          <w:szCs w:val="28"/>
        </w:rPr>
        <w:t>Community School m</w:t>
      </w:r>
      <w:r w:rsidRPr="00ED3E69">
        <w:rPr>
          <w:rFonts w:ascii="Tw Cen MT" w:hAnsi="Tw Cen MT" w:cstheme="minorHAnsi"/>
          <w:b/>
          <w:bCs/>
          <w:sz w:val="28"/>
          <w:szCs w:val="28"/>
        </w:rPr>
        <w:t>edium term plan</w:t>
      </w:r>
      <w:r w:rsidR="00ED3E69" w:rsidRPr="00ED3E69">
        <w:rPr>
          <w:rFonts w:ascii="Tw Cen MT" w:hAnsi="Tw Cen MT" w:cstheme="minorHAnsi"/>
          <w:b/>
          <w:bCs/>
          <w:sz w:val="28"/>
          <w:szCs w:val="28"/>
        </w:rPr>
        <w:t>ning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15"/>
        <w:gridCol w:w="2781"/>
        <w:gridCol w:w="5289"/>
        <w:gridCol w:w="2425"/>
        <w:gridCol w:w="2536"/>
      </w:tblGrid>
      <w:tr w:rsidR="000F48DD" w:rsidRPr="00BF2FB6" w14:paraId="07EA6CCD" w14:textId="77777777" w:rsidTr="000F48DD">
        <w:tc>
          <w:tcPr>
            <w:tcW w:w="2415" w:type="dxa"/>
          </w:tcPr>
          <w:p w14:paraId="2CB769AD" w14:textId="77777777" w:rsidR="00445538" w:rsidRPr="00BF2FB6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Topic title:</w:t>
            </w:r>
          </w:p>
          <w:p w14:paraId="11BAD80F" w14:textId="66DA9158" w:rsidR="00445538" w:rsidRPr="00467682" w:rsidRDefault="00B409F3" w:rsidP="00197998">
            <w:pPr>
              <w:rPr>
                <w:rFonts w:ascii="Tw Cen MT" w:hAnsi="Tw Cen MT" w:cstheme="minorHAnsi"/>
                <w:sz w:val="32"/>
                <w:szCs w:val="32"/>
              </w:rPr>
            </w:pPr>
            <w:r>
              <w:rPr>
                <w:rFonts w:ascii="Tw Cen MT" w:hAnsi="Tw Cen MT" w:cstheme="minorHAnsi"/>
                <w:sz w:val="32"/>
                <w:szCs w:val="32"/>
              </w:rPr>
              <w:t>Particles and atoms</w:t>
            </w:r>
          </w:p>
          <w:p w14:paraId="0AA7BB50" w14:textId="135DD4D6" w:rsidR="00445538" w:rsidRPr="00BF2FB6" w:rsidRDefault="00445538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</w:tcPr>
          <w:p w14:paraId="14D65FA7" w14:textId="6A2DD69E" w:rsidR="00445538" w:rsidRPr="00467682" w:rsidRDefault="00445538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Year:</w:t>
            </w:r>
            <w:r w:rsidR="00B409F3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7</w:t>
            </w:r>
            <w:r w:rsidR="00E2534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E2534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Term:</w:t>
            </w:r>
            <w:r w:rsidR="00B409F3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5289" w:type="dxa"/>
          </w:tcPr>
          <w:p w14:paraId="7F203DF7" w14:textId="1B9C4960" w:rsidR="00E25346" w:rsidRPr="00F26CB2" w:rsidRDefault="00445538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467682">
              <w:rPr>
                <w:rFonts w:ascii="Tw Cen MT" w:hAnsi="Tw Cen MT" w:cstheme="minorHAnsi"/>
                <w:sz w:val="24"/>
                <w:szCs w:val="24"/>
              </w:rPr>
              <w:t>…</w:t>
            </w:r>
            <w:r w:rsidR="009C0471">
              <w:rPr>
                <w:rFonts w:ascii="Tw Cen MT" w:hAnsi="Tw Cen MT" w:cstheme="minorHAnsi"/>
                <w:sz w:val="24"/>
                <w:szCs w:val="24"/>
              </w:rPr>
              <w:t>We s</w:t>
            </w:r>
            <w:r w:rsidR="00710727">
              <w:rPr>
                <w:rFonts w:ascii="Tw Cen MT" w:hAnsi="Tw Cen MT" w:cstheme="minorHAnsi"/>
                <w:sz w:val="24"/>
                <w:szCs w:val="24"/>
              </w:rPr>
              <w:t xml:space="preserve">tart our </w:t>
            </w:r>
            <w:proofErr w:type="gramStart"/>
            <w:r w:rsidR="00710727">
              <w:rPr>
                <w:rFonts w:ascii="Tw Cen MT" w:hAnsi="Tw Cen MT" w:cstheme="minorHAnsi"/>
                <w:sz w:val="24"/>
                <w:szCs w:val="24"/>
              </w:rPr>
              <w:t>Science</w:t>
            </w:r>
            <w:proofErr w:type="gramEnd"/>
            <w:r w:rsidR="00710727">
              <w:rPr>
                <w:rFonts w:ascii="Tw Cen MT" w:hAnsi="Tw Cen MT" w:cstheme="minorHAnsi"/>
                <w:sz w:val="24"/>
                <w:szCs w:val="24"/>
              </w:rPr>
              <w:t xml:space="preserve"> journey by learning about</w:t>
            </w:r>
            <w:r w:rsidR="00F26CB2">
              <w:rPr>
                <w:rFonts w:ascii="Tw Cen MT" w:hAnsi="Tw Cen MT" w:cstheme="minorHAnsi"/>
                <w:sz w:val="24"/>
                <w:szCs w:val="24"/>
              </w:rPr>
              <w:t xml:space="preserve"> the building blocks of the Universe so that we can understand what everything is made of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2020AF60" w14:textId="77777777" w:rsidR="00445538" w:rsidRDefault="00445538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Why we teach this here: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467682">
              <w:rPr>
                <w:rFonts w:ascii="Tw Cen MT" w:hAnsi="Tw Cen MT" w:cstheme="minorHAnsi"/>
                <w:sz w:val="24"/>
                <w:szCs w:val="24"/>
              </w:rPr>
              <w:t>…</w:t>
            </w:r>
            <w:r w:rsidR="00F26CB2">
              <w:rPr>
                <w:rFonts w:ascii="Tw Cen MT" w:hAnsi="Tw Cen MT" w:cstheme="minorHAnsi"/>
                <w:sz w:val="24"/>
                <w:szCs w:val="24"/>
              </w:rPr>
              <w:t xml:space="preserve"> The Science journey from atomic to cosmic starts with the parts that make up our Universe, </w:t>
            </w:r>
            <w:proofErr w:type="gramStart"/>
            <w:r w:rsidR="00F26CB2">
              <w:rPr>
                <w:rFonts w:ascii="Tw Cen MT" w:hAnsi="Tw Cen MT" w:cstheme="minorHAnsi"/>
                <w:sz w:val="24"/>
                <w:szCs w:val="24"/>
              </w:rPr>
              <w:t>materials</w:t>
            </w:r>
            <w:proofErr w:type="gramEnd"/>
            <w:r w:rsidR="00F26CB2">
              <w:rPr>
                <w:rFonts w:ascii="Tw Cen MT" w:hAnsi="Tw Cen MT" w:cstheme="minorHAnsi"/>
                <w:sz w:val="24"/>
                <w:szCs w:val="24"/>
              </w:rPr>
              <w:t xml:space="preserve"> and all living things. This allows us to build on this idea in later </w:t>
            </w:r>
            <w:proofErr w:type="gramStart"/>
            <w:r w:rsidR="00F26CB2">
              <w:rPr>
                <w:rFonts w:ascii="Tw Cen MT" w:hAnsi="Tw Cen MT" w:cstheme="minorHAnsi"/>
                <w:sz w:val="24"/>
                <w:szCs w:val="24"/>
              </w:rPr>
              <w:t>topics</w:t>
            </w:r>
            <w:proofErr w:type="gramEnd"/>
          </w:p>
          <w:p w14:paraId="6944C2FF" w14:textId="77777777" w:rsidR="00F26CB2" w:rsidRDefault="00F26CB2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</w:p>
          <w:p w14:paraId="12F624B2" w14:textId="20F4C560" w:rsidR="00F26CB2" w:rsidRPr="00467682" w:rsidRDefault="00F26CB2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</w:tr>
      <w:tr w:rsidR="00BF2FB6" w:rsidRPr="00BF2FB6" w14:paraId="586529ED" w14:textId="77777777" w:rsidTr="000F48DD">
        <w:trPr>
          <w:trHeight w:val="670"/>
        </w:trPr>
        <w:tc>
          <w:tcPr>
            <w:tcW w:w="5196" w:type="dxa"/>
            <w:gridSpan w:val="2"/>
            <w:vMerge w:val="restart"/>
          </w:tcPr>
          <w:p w14:paraId="2ED442E1" w14:textId="1CAA8E60" w:rsid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Big questions:</w:t>
            </w:r>
          </w:p>
          <w:p w14:paraId="401E4888" w14:textId="135B9626" w:rsidR="00BF2FB6" w:rsidRPr="00F26CB2" w:rsidRDefault="00F26CB2" w:rsidP="00F26CB2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What is a particle?</w:t>
            </w:r>
          </w:p>
          <w:p w14:paraId="3B9BE561" w14:textId="16079692" w:rsidR="00F26CB2" w:rsidRPr="00F26CB2" w:rsidRDefault="00F26CB2" w:rsidP="00F26CB2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What is an element?</w:t>
            </w:r>
          </w:p>
          <w:p w14:paraId="3C282F96" w14:textId="66E697E8" w:rsidR="00F26CB2" w:rsidRDefault="00F26CB2" w:rsidP="00F26CB2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What is a mixture?</w:t>
            </w:r>
          </w:p>
          <w:p w14:paraId="375E8004" w14:textId="2173CDFF" w:rsidR="00F26CB2" w:rsidRPr="00F26CB2" w:rsidRDefault="00F26CB2" w:rsidP="00F26CB2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What is a compound?</w:t>
            </w:r>
          </w:p>
          <w:p w14:paraId="5B7EFABC" w14:textId="53D9434F" w:rsidR="00F26CB2" w:rsidRPr="00F26CB2" w:rsidRDefault="00F26CB2" w:rsidP="00F26CB2">
            <w:pPr>
              <w:pStyle w:val="ListParagraph"/>
              <w:numPr>
                <w:ilvl w:val="0"/>
                <w:numId w:val="24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How do we separate mixtures?</w:t>
            </w:r>
          </w:p>
          <w:p w14:paraId="475CA76C" w14:textId="50F81A45" w:rsidR="00F26CB2" w:rsidRPr="00BF2FB6" w:rsidRDefault="00F26CB2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</w:tcPr>
          <w:p w14:paraId="0F5A47F1" w14:textId="25F2A21D" w:rsidR="00467682" w:rsidRPr="00467682" w:rsidRDefault="00467682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Builds on previous topics: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  <w:r w:rsidR="00F26CB2">
              <w:rPr>
                <w:rFonts w:ascii="Tw Cen MT" w:hAnsi="Tw Cen MT" w:cstheme="minorHAnsi"/>
                <w:sz w:val="24"/>
                <w:szCs w:val="24"/>
              </w:rPr>
              <w:t xml:space="preserve"> KS2 </w:t>
            </w:r>
            <w:proofErr w:type="gramStart"/>
            <w:r w:rsidR="00F26CB2">
              <w:rPr>
                <w:rFonts w:ascii="Tw Cen MT" w:hAnsi="Tw Cen MT" w:cstheme="minorHAnsi"/>
                <w:sz w:val="24"/>
                <w:szCs w:val="24"/>
              </w:rPr>
              <w:t>Science</w:t>
            </w:r>
            <w:proofErr w:type="gramEnd"/>
          </w:p>
          <w:p w14:paraId="6B1C07AF" w14:textId="77777777" w:rsidR="00467682" w:rsidRDefault="00467682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201DC48B" w14:textId="2D5FAA2E" w:rsidR="00467682" w:rsidRDefault="00467682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97AF692" w14:textId="7DB6C37A" w:rsidR="00BF2FB6" w:rsidRDefault="00467682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Links to future topics:</w:t>
            </w:r>
          </w:p>
          <w:p w14:paraId="67762058" w14:textId="7602DD09" w:rsidR="00467682" w:rsidRPr="00467682" w:rsidRDefault="00467682" w:rsidP="00BF2FB6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…</w:t>
            </w:r>
            <w:r w:rsidR="00F26CB2">
              <w:rPr>
                <w:rFonts w:ascii="Tw Cen MT" w:hAnsi="Tw Cen MT" w:cstheme="minorHAnsi"/>
                <w:sz w:val="24"/>
                <w:szCs w:val="24"/>
              </w:rPr>
              <w:t xml:space="preserve"> All Biology, Chemistry and Physics</w:t>
            </w:r>
          </w:p>
          <w:p w14:paraId="7C48DBBE" w14:textId="77777777" w:rsidR="00BF2FB6" w:rsidRDefault="00BF2FB6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  <w:p w14:paraId="4EF2EC6E" w14:textId="12231019" w:rsidR="00BF2FB6" w:rsidRPr="00BF2FB6" w:rsidRDefault="00BF2FB6" w:rsidP="00BF2FB6">
            <w:pPr>
              <w:tabs>
                <w:tab w:val="left" w:pos="1777"/>
              </w:tabs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ab/>
            </w:r>
          </w:p>
        </w:tc>
      </w:tr>
      <w:tr w:rsidR="00BF2FB6" w:rsidRPr="00BF2FB6" w14:paraId="3446D778" w14:textId="77777777" w:rsidTr="000F48DD">
        <w:trPr>
          <w:trHeight w:val="775"/>
        </w:trPr>
        <w:tc>
          <w:tcPr>
            <w:tcW w:w="5196" w:type="dxa"/>
            <w:gridSpan w:val="2"/>
            <w:vMerge/>
          </w:tcPr>
          <w:p w14:paraId="2DB1EEA4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  <w:vMerge w:val="restart"/>
            <w:tcBorders>
              <w:right w:val="nil"/>
            </w:tcBorders>
          </w:tcPr>
          <w:p w14:paraId="768532A1" w14:textId="77777777" w:rsidR="00BF2FB6" w:rsidRDefault="00BF2FB6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knowledge:</w:t>
            </w:r>
          </w:p>
          <w:p w14:paraId="4BADDDB0" w14:textId="77777777" w:rsidR="00F83886" w:rsidRDefault="00F83886" w:rsidP="00F8388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How atoms make up elements </w:t>
            </w:r>
          </w:p>
          <w:p w14:paraId="3767709E" w14:textId="77777777" w:rsidR="00F83886" w:rsidRDefault="00F83886" w:rsidP="00F8388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compounds and the difference between them. </w:t>
            </w:r>
          </w:p>
          <w:p w14:paraId="46A87531" w14:textId="77777777" w:rsidR="00F83886" w:rsidRDefault="00F83886" w:rsidP="00F8388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how the chemical formula tells us what elements are present 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and </w:t>
            </w: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how many of them there are for a given compound. </w:t>
            </w:r>
          </w:p>
          <w:p w14:paraId="170F509A" w14:textId="77777777" w:rsidR="00F83886" w:rsidRDefault="00F83886" w:rsidP="00F8388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The concept of a pure substance. </w:t>
            </w:r>
          </w:p>
          <w:p w14:paraId="1E1CCD17" w14:textId="47A4C466" w:rsidR="00467682" w:rsidRPr="00F83886" w:rsidRDefault="00F83886" w:rsidP="00F83886">
            <w:pPr>
              <w:pStyle w:val="ListParagraph"/>
              <w:numPr>
                <w:ilvl w:val="0"/>
                <w:numId w:val="22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>What mixtures are and how they work, including dissolving, diffusion in terms of the particle model, simple techniques for separating mixtures: filtration, evaporation, distillation and chromatography and the identification of pure substances.</w:t>
            </w:r>
          </w:p>
        </w:tc>
        <w:tc>
          <w:tcPr>
            <w:tcW w:w="4961" w:type="dxa"/>
            <w:gridSpan w:val="2"/>
            <w:vMerge w:val="restart"/>
            <w:tcBorders>
              <w:left w:val="nil"/>
            </w:tcBorders>
          </w:tcPr>
          <w:p w14:paraId="241B5B8F" w14:textId="77777777" w:rsidR="00BF2FB6" w:rsidRDefault="00BF2FB6" w:rsidP="00BF2FB6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knowledge continued:</w:t>
            </w:r>
          </w:p>
          <w:p w14:paraId="2D9FCED0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the 3 states of matter </w:t>
            </w:r>
          </w:p>
          <w:p w14:paraId="4B168C9F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the particle model </w:t>
            </w:r>
            <w:proofErr w:type="gramStart"/>
            <w:r w:rsidRPr="00F83886">
              <w:rPr>
                <w:rFonts w:ascii="Tw Cen MT" w:hAnsi="Tw Cen MT" w:cstheme="minorHAnsi"/>
                <w:sz w:val="24"/>
                <w:szCs w:val="24"/>
              </w:rPr>
              <w:t>describe</w:t>
            </w:r>
            <w:proofErr w:type="gramEnd"/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 similarities and differences </w:t>
            </w:r>
          </w:p>
          <w:p w14:paraId="3E521868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explain sublimation. </w:t>
            </w:r>
          </w:p>
          <w:p w14:paraId="24B129FE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proofErr w:type="gramStart"/>
            <w:r w:rsidRPr="00F83886">
              <w:rPr>
                <w:rFonts w:ascii="Tw Cen MT" w:hAnsi="Tw Cen MT" w:cstheme="minorHAnsi"/>
                <w:sz w:val="24"/>
                <w:szCs w:val="24"/>
              </w:rPr>
              <w:t>particular nature</w:t>
            </w:r>
            <w:proofErr w:type="gramEnd"/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 of water and ice and the transition stages. </w:t>
            </w:r>
          </w:p>
          <w:p w14:paraId="2BF3C97A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explain Brownian motion, diffusion conduction, and how temperature and pressure affect particle behaviour.    </w:t>
            </w:r>
          </w:p>
          <w:p w14:paraId="058A6C1E" w14:textId="77777777" w:rsidR="00F8388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changes with temperature in motion and spacing of </w:t>
            </w:r>
            <w:proofErr w:type="gramStart"/>
            <w:r w:rsidRPr="00F83886">
              <w:rPr>
                <w:rFonts w:ascii="Tw Cen MT" w:hAnsi="Tw Cen MT" w:cstheme="minorHAnsi"/>
                <w:sz w:val="24"/>
                <w:szCs w:val="24"/>
              </w:rPr>
              <w:t>particles;</w:t>
            </w:r>
            <w:proofErr w:type="gramEnd"/>
            <w:r w:rsidRPr="00F83886">
              <w:rPr>
                <w:rFonts w:ascii="Tw Cen MT" w:hAnsi="Tw Cen MT" w:cstheme="minorHAnsi"/>
                <w:sz w:val="24"/>
                <w:szCs w:val="24"/>
              </w:rPr>
              <w:t xml:space="preserve"> </w:t>
            </w:r>
          </w:p>
          <w:p w14:paraId="51F4B815" w14:textId="42850E82" w:rsidR="00BF2FB6" w:rsidRPr="00BF2FB6" w:rsidRDefault="00F83886" w:rsidP="00BF2FB6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 w:rsidRPr="00F83886">
              <w:rPr>
                <w:rFonts w:ascii="Tw Cen MT" w:hAnsi="Tw Cen MT" w:cstheme="minorHAnsi"/>
                <w:sz w:val="24"/>
                <w:szCs w:val="24"/>
              </w:rPr>
              <w:t>internal energy stored in materials.</w:t>
            </w:r>
          </w:p>
        </w:tc>
      </w:tr>
      <w:tr w:rsidR="00BF2FB6" w:rsidRPr="00BF2FB6" w14:paraId="103CDDC4" w14:textId="77777777" w:rsidTr="000F48DD">
        <w:trPr>
          <w:trHeight w:val="1782"/>
        </w:trPr>
        <w:tc>
          <w:tcPr>
            <w:tcW w:w="5196" w:type="dxa"/>
            <w:gridSpan w:val="2"/>
          </w:tcPr>
          <w:p w14:paraId="47CF2A97" w14:textId="62ACF6EA" w:rsid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Skills developed:</w:t>
            </w:r>
          </w:p>
          <w:p w14:paraId="66609FC9" w14:textId="69EF6928" w:rsidR="00BF2FB6" w:rsidRPr="00955765" w:rsidRDefault="00524513" w:rsidP="00955765">
            <w:pPr>
              <w:jc w:val="center"/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</w:t>
            </w:r>
            <w:r w:rsidR="00955765" w:rsidRPr="00955765">
              <w:rPr>
                <w:rFonts w:ascii="Tw Cen MT" w:hAnsi="Tw Cen MT" w:cstheme="minorHAnsi"/>
                <w:sz w:val="24"/>
                <w:szCs w:val="24"/>
              </w:rPr>
              <w:t xml:space="preserve">ecording observations, researching information, </w:t>
            </w:r>
            <w:r w:rsidR="00955765">
              <w:rPr>
                <w:rFonts w:ascii="Tw Cen MT" w:hAnsi="Tw Cen MT" w:cstheme="minorHAnsi"/>
                <w:sz w:val="24"/>
                <w:szCs w:val="24"/>
              </w:rPr>
              <w:t>m</w:t>
            </w:r>
            <w:r w:rsidR="00955765" w:rsidRPr="00955765">
              <w:rPr>
                <w:rFonts w:ascii="Tw Cen MT" w:hAnsi="Tw Cen MT" w:cstheme="minorHAnsi"/>
                <w:sz w:val="24"/>
                <w:szCs w:val="24"/>
              </w:rPr>
              <w:t xml:space="preserve">ake predictions using scientific knowledge and understanding, present observations and data using appropriate methods, including tables and graphs, select, </w:t>
            </w:r>
            <w:proofErr w:type="gramStart"/>
            <w:r w:rsidR="00955765" w:rsidRPr="00955765">
              <w:rPr>
                <w:rFonts w:ascii="Tw Cen MT" w:hAnsi="Tw Cen MT" w:cstheme="minorHAnsi"/>
                <w:sz w:val="24"/>
                <w:szCs w:val="24"/>
              </w:rPr>
              <w:t>plan</w:t>
            </w:r>
            <w:proofErr w:type="gramEnd"/>
            <w:r w:rsidR="00955765" w:rsidRPr="00955765">
              <w:rPr>
                <w:rFonts w:ascii="Tw Cen MT" w:hAnsi="Tw Cen MT" w:cstheme="minorHAnsi"/>
                <w:sz w:val="24"/>
                <w:szCs w:val="24"/>
              </w:rPr>
              <w:t xml:space="preserve"> and carry out the most appropriate types of scientific enquiries to test predictions, including identifying independent, dependent, and control variables where appropriate.</w:t>
            </w:r>
          </w:p>
        </w:tc>
        <w:tc>
          <w:tcPr>
            <w:tcW w:w="5289" w:type="dxa"/>
            <w:vMerge/>
            <w:tcBorders>
              <w:right w:val="nil"/>
            </w:tcBorders>
          </w:tcPr>
          <w:p w14:paraId="7ACBB21E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/>
            <w:tcBorders>
              <w:left w:val="nil"/>
            </w:tcBorders>
          </w:tcPr>
          <w:p w14:paraId="36A26D03" w14:textId="6F61176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  <w:tr w:rsidR="000F48DD" w:rsidRPr="00BF2FB6" w14:paraId="237036E1" w14:textId="77777777" w:rsidTr="000F48DD">
        <w:tc>
          <w:tcPr>
            <w:tcW w:w="5196" w:type="dxa"/>
            <w:gridSpan w:val="2"/>
          </w:tcPr>
          <w:p w14:paraId="00345E8E" w14:textId="35F24FE9" w:rsidR="00BF2FB6" w:rsidRPr="00BF2FB6" w:rsidRDefault="00467682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Mini/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Interim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</w:t>
            </w:r>
            <w:r w:rsidR="00BF2FB6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ssessments:</w:t>
            </w:r>
          </w:p>
          <w:p w14:paraId="747B2803" w14:textId="0D3CB498" w:rsidR="00BF2FB6" w:rsidRDefault="00955765" w:rsidP="0046768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Multiple choice questions</w:t>
            </w:r>
          </w:p>
          <w:p w14:paraId="6CE8EF7A" w14:textId="1B2D2CAF" w:rsidR="00955765" w:rsidRPr="00467682" w:rsidRDefault="00955765" w:rsidP="00467682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Retrieval questions</w:t>
            </w:r>
          </w:p>
          <w:p w14:paraId="466C7C2A" w14:textId="7A53DA4C" w:rsid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  <w:t>Termly summative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assessment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0B901DD3" w14:textId="77777777" w:rsidR="00955765" w:rsidRDefault="00955765" w:rsidP="00955765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>End of topic test</w:t>
            </w:r>
          </w:p>
          <w:p w14:paraId="56253C95" w14:textId="52623D55" w:rsidR="00467682" w:rsidRPr="00955765" w:rsidRDefault="00955765" w:rsidP="00955765">
            <w:pPr>
              <w:pStyle w:val="ListParagraph"/>
              <w:numPr>
                <w:ilvl w:val="0"/>
                <w:numId w:val="20"/>
              </w:num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sz w:val="24"/>
                <w:szCs w:val="24"/>
              </w:rPr>
              <w:t xml:space="preserve">Year </w:t>
            </w:r>
            <w:r w:rsidR="00F1108F">
              <w:rPr>
                <w:rFonts w:ascii="Tw Cen MT" w:hAnsi="Tw Cen MT" w:cstheme="minorHAnsi"/>
                <w:sz w:val="24"/>
                <w:szCs w:val="24"/>
              </w:rPr>
              <w:t>8</w:t>
            </w:r>
            <w:r>
              <w:rPr>
                <w:rFonts w:ascii="Tw Cen MT" w:hAnsi="Tw Cen MT" w:cstheme="minorHAnsi"/>
                <w:sz w:val="24"/>
                <w:szCs w:val="24"/>
              </w:rPr>
              <w:t xml:space="preserve"> Spaced learning assessment</w:t>
            </w:r>
          </w:p>
          <w:p w14:paraId="3C064D81" w14:textId="7C3C696F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89" w:type="dxa"/>
          </w:tcPr>
          <w:p w14:paraId="6637878F" w14:textId="77777777" w:rsidR="006D798F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Independent study task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>s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t>/resources</w:t>
            </w: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:</w:t>
            </w:r>
          </w:p>
          <w:p w14:paraId="3F0E53CF" w14:textId="6CEB947B" w:rsidR="00955765" w:rsidRPr="000F48DD" w:rsidRDefault="000F48DD" w:rsidP="000F48DD">
            <w:pPr>
              <w:pStyle w:val="ListParagraph"/>
              <w:numPr>
                <w:ilvl w:val="0"/>
                <w:numId w:val="23"/>
              </w:numPr>
              <w:ind w:left="265" w:hanging="284"/>
              <w:rPr>
                <w:rFonts w:cstheme="minorHAnsi"/>
                <w:sz w:val="18"/>
                <w:szCs w:val="18"/>
              </w:rPr>
            </w:pPr>
            <w:r w:rsidRPr="000F48DD">
              <w:rPr>
                <w:rFonts w:cstheme="minorHAnsi"/>
                <w:sz w:val="18"/>
                <w:szCs w:val="18"/>
              </w:rPr>
              <w:t>OAK</w:t>
            </w:r>
            <w:r w:rsidR="00955765" w:rsidRPr="000F48DD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hyperlink r:id="rId6" w:history="1">
              <w:r w:rsidR="00710727" w:rsidRPr="000F48DD">
                <w:rPr>
                  <w:rStyle w:val="Hyperlink"/>
                  <w:rFonts w:cstheme="minorHAnsi"/>
                  <w:sz w:val="18"/>
                  <w:szCs w:val="18"/>
                  <w:u w:val="none"/>
                </w:rPr>
                <w:t>https://teachers.thenational.academy/units/particles-f50c</w:t>
              </w:r>
            </w:hyperlink>
            <w:r w:rsidR="00710727" w:rsidRPr="000F48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F4640D1" w14:textId="78714487" w:rsidR="00710727" w:rsidRPr="000F48DD" w:rsidRDefault="000F48DD" w:rsidP="000F48DD">
            <w:pPr>
              <w:pStyle w:val="ListParagraph"/>
              <w:numPr>
                <w:ilvl w:val="0"/>
                <w:numId w:val="23"/>
              </w:numPr>
              <w:ind w:left="265" w:hanging="284"/>
              <w:rPr>
                <w:rFonts w:cstheme="minorHAnsi"/>
                <w:sz w:val="18"/>
                <w:szCs w:val="18"/>
              </w:rPr>
            </w:pPr>
            <w:r w:rsidRPr="000F48DD">
              <w:rPr>
                <w:rFonts w:cstheme="minorHAnsi"/>
                <w:sz w:val="18"/>
                <w:szCs w:val="18"/>
              </w:rPr>
              <w:t xml:space="preserve">Seneca </w:t>
            </w:r>
            <w:hyperlink r:id="rId7" w:history="1">
              <w:r w:rsidRPr="000F48DD">
                <w:rPr>
                  <w:rStyle w:val="Hyperlink"/>
                  <w:rFonts w:cstheme="minorHAnsi"/>
                  <w:sz w:val="18"/>
                  <w:szCs w:val="18"/>
                </w:rPr>
                <w:t>https://app.senecalearning.com/classroom/course/419c7523-d408-4bc7-9b96-f7f12abdacae/section/b6c07589-15f7-4ff0-969e-11343f86646c/session</w:t>
              </w:r>
            </w:hyperlink>
            <w:r w:rsidR="00710727" w:rsidRPr="000F48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8D810A0" w14:textId="4677D519" w:rsidR="00710727" w:rsidRPr="00710727" w:rsidRDefault="000F48DD" w:rsidP="000F48DD">
            <w:pPr>
              <w:pStyle w:val="ListParagraph"/>
              <w:numPr>
                <w:ilvl w:val="0"/>
                <w:numId w:val="23"/>
              </w:numPr>
              <w:ind w:left="265" w:hanging="284"/>
              <w:rPr>
                <w:rFonts w:ascii="Tw Cen MT" w:hAnsi="Tw Cen MT" w:cstheme="minorHAnsi"/>
                <w:sz w:val="24"/>
                <w:szCs w:val="24"/>
              </w:rPr>
            </w:pPr>
            <w:r w:rsidRPr="000F48DD">
              <w:rPr>
                <w:rFonts w:cstheme="minorHAnsi"/>
                <w:sz w:val="18"/>
                <w:szCs w:val="18"/>
              </w:rPr>
              <w:t xml:space="preserve">Seneca </w:t>
            </w:r>
            <w:hyperlink r:id="rId8" w:history="1">
              <w:r w:rsidRPr="000F48DD">
                <w:rPr>
                  <w:rStyle w:val="Hyperlink"/>
                  <w:rFonts w:cstheme="minorHAnsi"/>
                  <w:sz w:val="18"/>
                  <w:szCs w:val="18"/>
                </w:rPr>
                <w:t>https://app.senecalearning.com/classroom/course/419c7523-d408-4bc7-9b96-f7f12abdacae/section/ba2ff895-06bc-4053-950f-15f207d97d38/session</w:t>
              </w:r>
            </w:hyperlink>
            <w:r w:rsidR="00710727" w:rsidRPr="000F48DD">
              <w:rPr>
                <w:rFonts w:ascii="Tw Cen MT" w:hAnsi="Tw Cen MT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425" w:type="dxa"/>
            <w:vMerge w:val="restart"/>
          </w:tcPr>
          <w:p w14:paraId="355624D1" w14:textId="5F54F132" w:rsidR="00F26CB2" w:rsidRPr="00F26CB2" w:rsidRDefault="0046768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Key vocabulary </w:t>
            </w:r>
            <w:r w:rsidR="00F26CB2" w:rsidRPr="00F26CB2">
              <w:rPr>
                <w:rFonts w:ascii="Tw Cen MT" w:hAnsi="Tw Cen MT" w:cstheme="minorHAnsi"/>
                <w:sz w:val="24"/>
                <w:szCs w:val="24"/>
              </w:rPr>
              <w:t>Periodic Table</w:t>
            </w:r>
          </w:p>
          <w:p w14:paraId="44CF32CD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Atom</w:t>
            </w:r>
          </w:p>
          <w:p w14:paraId="5BDCCA3F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Element</w:t>
            </w:r>
          </w:p>
          <w:p w14:paraId="4047C2AE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Compound</w:t>
            </w:r>
          </w:p>
          <w:p w14:paraId="1C04675A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Mixture</w:t>
            </w:r>
          </w:p>
          <w:p w14:paraId="71EDD59F" w14:textId="36235EC3" w:rsidR="00BF2FB6" w:rsidRPr="00467682" w:rsidRDefault="00BF2FB6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</w:tcPr>
          <w:p w14:paraId="7E816937" w14:textId="60D91A93" w:rsidR="00F26CB2" w:rsidRPr="00F26CB2" w:rsidRDefault="00BF2FB6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Key vocabulary</w:t>
            </w: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="00F26CB2" w:rsidRPr="00F26CB2">
              <w:rPr>
                <w:rFonts w:ascii="Tw Cen MT" w:hAnsi="Tw Cen MT" w:cstheme="minorHAnsi"/>
                <w:sz w:val="24"/>
                <w:szCs w:val="24"/>
              </w:rPr>
              <w:t>Reactant</w:t>
            </w:r>
          </w:p>
          <w:p w14:paraId="45AE6DD3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Product</w:t>
            </w:r>
          </w:p>
          <w:p w14:paraId="4FB80175" w14:textId="77777777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 xml:space="preserve">Conservation of </w:t>
            </w:r>
          </w:p>
          <w:p w14:paraId="16429E7D" w14:textId="77777777" w:rsid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 xml:space="preserve">Mass </w:t>
            </w:r>
          </w:p>
          <w:p w14:paraId="05F7311D" w14:textId="2A97A285" w:rsidR="00F26CB2" w:rsidRPr="00F26CB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Chemical Reaction</w:t>
            </w:r>
          </w:p>
          <w:p w14:paraId="74029DE4" w14:textId="7723E9F1" w:rsidR="00467682" w:rsidRPr="00467682" w:rsidRDefault="00F26CB2" w:rsidP="00F26CB2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F26CB2">
              <w:rPr>
                <w:rFonts w:ascii="Tw Cen MT" w:hAnsi="Tw Cen MT" w:cstheme="minorHAnsi"/>
                <w:sz w:val="24"/>
                <w:szCs w:val="24"/>
              </w:rPr>
              <w:t>Physical Reaction</w:t>
            </w:r>
          </w:p>
        </w:tc>
      </w:tr>
      <w:tr w:rsidR="000F48DD" w:rsidRPr="00BF2FB6" w14:paraId="780A4973" w14:textId="77777777" w:rsidTr="000F48DD">
        <w:trPr>
          <w:trHeight w:val="1307"/>
        </w:trPr>
        <w:tc>
          <w:tcPr>
            <w:tcW w:w="5196" w:type="dxa"/>
            <w:gridSpan w:val="2"/>
          </w:tcPr>
          <w:p w14:paraId="3A7F8A1E" w14:textId="7A1D326F" w:rsidR="00BF2FB6" w:rsidRPr="00467682" w:rsidRDefault="00BF2FB6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Cultural capital </w:t>
            </w:r>
            <w:r w:rsidR="00206B05"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opportunities:</w:t>
            </w:r>
            <w:r w:rsidR="00206B05">
              <w:rPr>
                <w:rFonts w:ascii="Tw Cen MT" w:hAnsi="Tw Cen MT" w:cstheme="minorHAnsi"/>
                <w:sz w:val="24"/>
                <w:szCs w:val="24"/>
              </w:rPr>
              <w:t xml:space="preserve"> …</w:t>
            </w:r>
          </w:p>
          <w:p w14:paraId="22F623BE" w14:textId="3874724D" w:rsidR="00BF2FB6" w:rsidRPr="00F1108F" w:rsidRDefault="00F1108F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>
              <w:rPr>
                <w:rFonts w:ascii="Tw Cen MT" w:hAnsi="Tw Cen MT" w:cstheme="minorHAnsi"/>
                <w:b/>
                <w:bCs/>
                <w:sz w:val="24"/>
                <w:szCs w:val="24"/>
              </w:rPr>
              <w:t xml:space="preserve"> </w:t>
            </w:r>
            <w:r w:rsidRPr="00F1108F">
              <w:rPr>
                <w:rFonts w:ascii="Tw Cen MT" w:hAnsi="Tw Cen MT" w:cstheme="minorHAnsi"/>
              </w:rPr>
              <w:t xml:space="preserve">Practical applications of separating techniques. Social: why shouldn’t people smoke in their cars/ outside pub? “Atoms are the building bricks of the Universe” </w:t>
            </w:r>
            <w:r>
              <w:rPr>
                <w:rFonts w:ascii="Tw Cen MT" w:hAnsi="Tw Cen MT" w:cstheme="minorHAnsi"/>
              </w:rPr>
              <w:t>so</w:t>
            </w:r>
            <w:r w:rsidRPr="00F1108F">
              <w:rPr>
                <w:rFonts w:ascii="Tw Cen MT" w:hAnsi="Tw Cen MT" w:cstheme="minorHAnsi"/>
              </w:rPr>
              <w:t xml:space="preserve"> where </w:t>
            </w:r>
            <w:r>
              <w:rPr>
                <w:rFonts w:ascii="Tw Cen MT" w:hAnsi="Tw Cen MT" w:cstheme="minorHAnsi"/>
              </w:rPr>
              <w:t>do we all come</w:t>
            </w:r>
            <w:r w:rsidRPr="00F1108F">
              <w:rPr>
                <w:rFonts w:ascii="Tw Cen MT" w:hAnsi="Tw Cen MT" w:cstheme="minorHAnsi"/>
              </w:rPr>
              <w:t xml:space="preserve"> from</w:t>
            </w:r>
            <w:r>
              <w:rPr>
                <w:rFonts w:ascii="Tw Cen MT" w:hAnsi="Tw Cen MT" w:cstheme="minorHAnsi"/>
              </w:rPr>
              <w:t>?</w:t>
            </w:r>
          </w:p>
        </w:tc>
        <w:tc>
          <w:tcPr>
            <w:tcW w:w="5289" w:type="dxa"/>
          </w:tcPr>
          <w:p w14:paraId="57C5E6DF" w14:textId="62BE47BF" w:rsidR="00BF2FB6" w:rsidRPr="00467682" w:rsidRDefault="00BF2FB6" w:rsidP="00197998">
            <w:pPr>
              <w:rPr>
                <w:rFonts w:ascii="Tw Cen MT" w:hAnsi="Tw Cen MT" w:cstheme="minorHAnsi"/>
                <w:sz w:val="24"/>
                <w:szCs w:val="24"/>
              </w:rPr>
            </w:pPr>
            <w:r w:rsidRPr="00BF2FB6">
              <w:rPr>
                <w:rFonts w:ascii="Tw Cen MT" w:hAnsi="Tw Cen MT" w:cstheme="minorHAnsi"/>
                <w:b/>
                <w:bCs/>
                <w:sz w:val="24"/>
                <w:szCs w:val="24"/>
              </w:rPr>
              <w:t>Whole school Curricular Concept links:</w:t>
            </w:r>
            <w:r w:rsidR="00467682">
              <w:rPr>
                <w:rFonts w:ascii="Tw Cen MT" w:hAnsi="Tw Cen MT" w:cstheme="minorHAnsi"/>
                <w:b/>
                <w:bCs/>
                <w:sz w:val="24"/>
                <w:szCs w:val="24"/>
              </w:rPr>
              <w:br/>
            </w:r>
            <w:r w:rsidR="00467682">
              <w:rPr>
                <w:rFonts w:ascii="Tw Cen MT" w:hAnsi="Tw Cen MT" w:cstheme="minorHAnsi"/>
                <w:sz w:val="24"/>
                <w:szCs w:val="24"/>
              </w:rPr>
              <w:t>…</w:t>
            </w:r>
            <w:r w:rsidR="00F1108F">
              <w:rPr>
                <w:rFonts w:ascii="Tw Cen MT" w:hAnsi="Tw Cen MT" w:cstheme="minorHAnsi"/>
                <w:sz w:val="24"/>
                <w:szCs w:val="24"/>
              </w:rPr>
              <w:t>Technological progress</w:t>
            </w:r>
          </w:p>
        </w:tc>
        <w:tc>
          <w:tcPr>
            <w:tcW w:w="2425" w:type="dxa"/>
            <w:vMerge/>
          </w:tcPr>
          <w:p w14:paraId="40BD3A24" w14:textId="77777777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14:paraId="5E36D15A" w14:textId="0D423A24" w:rsidR="00BF2FB6" w:rsidRPr="00BF2FB6" w:rsidRDefault="00BF2FB6" w:rsidP="00197998">
            <w:pPr>
              <w:rPr>
                <w:rFonts w:ascii="Tw Cen MT" w:hAnsi="Tw Cen MT" w:cstheme="minorHAnsi"/>
                <w:b/>
                <w:bCs/>
                <w:sz w:val="24"/>
                <w:szCs w:val="24"/>
              </w:rPr>
            </w:pPr>
          </w:p>
        </w:tc>
      </w:tr>
    </w:tbl>
    <w:p w14:paraId="7E531ACF" w14:textId="77777777" w:rsidR="00467682" w:rsidRDefault="00467682" w:rsidP="00502E08">
      <w:pPr>
        <w:jc w:val="center"/>
        <w:rPr>
          <w:rFonts w:ascii="Tw Cen MT" w:hAnsi="Tw Cen MT"/>
          <w:b/>
          <w:sz w:val="24"/>
          <w:szCs w:val="24"/>
          <w:u w:val="single"/>
        </w:rPr>
        <w:sectPr w:rsidR="00467682" w:rsidSect="00197998">
          <w:pgSz w:w="16838" w:h="11906" w:orient="landscape"/>
          <w:pgMar w:top="709" w:right="536" w:bottom="568" w:left="709" w:header="708" w:footer="708" w:gutter="0"/>
          <w:cols w:space="708"/>
          <w:docGrid w:linePitch="360"/>
        </w:sectPr>
      </w:pPr>
    </w:p>
    <w:tbl>
      <w:tblPr>
        <w:tblStyle w:val="TableGrid"/>
        <w:tblW w:w="7792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268"/>
      </w:tblGrid>
      <w:tr w:rsidR="00467682" w:rsidRPr="00240170" w14:paraId="6E907768" w14:textId="77777777" w:rsidTr="00467682">
        <w:trPr>
          <w:jc w:val="center"/>
        </w:trPr>
        <w:tc>
          <w:tcPr>
            <w:tcW w:w="988" w:type="dxa"/>
            <w:vAlign w:val="center"/>
          </w:tcPr>
          <w:p w14:paraId="398DF50E" w14:textId="4A496FCE" w:rsidR="00467682" w:rsidRPr="00240170" w:rsidRDefault="00467682" w:rsidP="00502E08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lastRenderedPageBreak/>
              <w:t>Week/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Phase</w:t>
            </w:r>
          </w:p>
        </w:tc>
        <w:tc>
          <w:tcPr>
            <w:tcW w:w="6804" w:type="dxa"/>
            <w:gridSpan w:val="2"/>
            <w:vAlign w:val="center"/>
          </w:tcPr>
          <w:p w14:paraId="15FEE47E" w14:textId="77777777" w:rsidR="00467682" w:rsidRPr="00240170" w:rsidRDefault="00467682" w:rsidP="00502E08">
            <w:pPr>
              <w:jc w:val="center"/>
              <w:rPr>
                <w:rFonts w:ascii="Tw Cen MT" w:hAnsi="Tw Cen MT"/>
                <w:b/>
                <w:sz w:val="24"/>
                <w:szCs w:val="24"/>
                <w:u w:val="single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="00467682" w:rsidRPr="00CC7F1F" w14:paraId="3D30E635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3741D57B" w14:textId="55386365" w:rsidR="00467682" w:rsidRPr="00240170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bookmarkStart w:id="0" w:name="_Hlk73613621"/>
            <w:r w:rsidRPr="00240170">
              <w:rPr>
                <w:rFonts w:ascii="Tw Cen MT" w:hAnsi="Tw Cen MT"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2"/>
          </w:tcPr>
          <w:p w14:paraId="73A79D88" w14:textId="554C074C" w:rsidR="00467682" w:rsidRPr="006418DD" w:rsidRDefault="00467682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14:paraId="0A3D9664" w14:textId="77777777" w:rsidR="00467682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6A9DA85" w14:textId="1E24F0FB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16992486" w14:textId="77777777" w:rsidTr="006418DD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14:paraId="17FC4CA4" w14:textId="77777777" w:rsidR="006418DD" w:rsidRPr="00240170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3DDC4CE" w14:textId="0945EB5A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  <w:r>
              <w:rPr>
                <w:rFonts w:ascii="Tw Cen MT" w:hAnsi="Tw Cen MT"/>
                <w:b/>
                <w:sz w:val="24"/>
                <w:szCs w:val="24"/>
              </w:rPr>
              <w:br/>
            </w: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7DD40386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FE66ABF" w14:textId="77777777" w:rsidR="006418DD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246396E7" w14:textId="77777777" w:rsidR="006418DD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03E4FFFF" w14:textId="77777777" w:rsidR="006418DD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6A950C21" w14:textId="77777777" w:rsidR="006418DD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  <w:p w14:paraId="49983313" w14:textId="033D87F2" w:rsidR="006418DD" w:rsidRPr="00CC7F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DFD534" w14:textId="27C2E352" w:rsidR="006418DD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A977F0D" w14:textId="77FD93DC" w:rsidR="006418DD" w:rsidRPr="006418DD" w:rsidRDefault="006418DD" w:rsidP="00467682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1EC9AAD" w14:textId="6CF67DDE" w:rsidR="006418DD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7478F22" w14:textId="1F4AE1E5" w:rsidR="006418DD" w:rsidRDefault="006418DD" w:rsidP="00467682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F032BDF" w14:textId="1CB047A4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07B6C6C8" w14:textId="5145F2B0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9F4A60D" w14:textId="77777777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8BD70B1" w14:textId="1F6B9149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bookmarkEnd w:id="0"/>
      <w:tr w:rsidR="00467682" w:rsidRPr="00CC7F1F" w14:paraId="72AAC6A8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029C33E8" w14:textId="77777777" w:rsidR="00467682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3D8000C8" w14:textId="77777777" w:rsidR="00467682" w:rsidRPr="00CC7F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67682" w:rsidRPr="00CC7F1F" w14:paraId="788515AB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C940F3F" w14:textId="77777777" w:rsidR="00467682" w:rsidRPr="00240170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2"/>
          </w:tcPr>
          <w:p w14:paraId="3B60ED5F" w14:textId="33DC623C" w:rsidR="00467682" w:rsidRPr="006418DD" w:rsidRDefault="00467682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14:paraId="7EF64ADB" w14:textId="77777777" w:rsidR="00467682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07F2397" w14:textId="77BF3F8F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7E8B5A13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249D3BB5" w14:textId="77777777" w:rsidR="006418DD" w:rsidRPr="00240170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94C8DD8" w14:textId="4572D8A6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58EA5CDA" w14:textId="4A3FE1DE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31F90FAC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ADB0709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FA9BE08" w14:textId="72FF3730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3F51E2E" w14:textId="2D939A5C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295987C" w14:textId="10079774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E49FEC8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DEC29F9" w14:textId="77777777" w:rsidR="006418DD" w:rsidRPr="00CC7F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B3ED57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0DA4DAE1" w14:textId="603174C1" w:rsidR="006418DD" w:rsidRPr="006418DD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86DAD07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2939D5D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408DEFD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6ECE61D0" w14:textId="3CA36D3B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467682" w:rsidRPr="00CC7F1F" w14:paraId="736B04C5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131E968B" w14:textId="77777777" w:rsidR="00467682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17820E4B" w14:textId="77777777" w:rsidR="00467682" w:rsidRPr="00CC7F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467682" w:rsidRPr="00CC7F1F" w14:paraId="6F02A898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6BA2FC3D" w14:textId="77777777" w:rsidR="00467682" w:rsidRPr="00240170" w:rsidRDefault="00467682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3</w:t>
            </w:r>
          </w:p>
        </w:tc>
        <w:tc>
          <w:tcPr>
            <w:tcW w:w="6804" w:type="dxa"/>
            <w:gridSpan w:val="2"/>
          </w:tcPr>
          <w:p w14:paraId="66B3A7F8" w14:textId="6A0F4205" w:rsidR="00467682" w:rsidRPr="006418DD" w:rsidRDefault="00467682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6418DD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14:paraId="153FC005" w14:textId="77777777" w:rsidR="00467682" w:rsidRPr="00CC7F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9B63B02" w14:textId="77777777" w:rsidR="00467682" w:rsidRPr="00CC7F1F" w:rsidRDefault="00467682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05350556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540ACC7F" w14:textId="77777777" w:rsidR="006418DD" w:rsidRPr="00240170" w:rsidRDefault="006418DD" w:rsidP="00502E08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79B4A7A" w14:textId="2AA83042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7B851AA2" w14:textId="34B96AE0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3C5BC3C5" w14:textId="77777777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7722D6A" w14:textId="77777777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24514F8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F4269A7" w14:textId="47BFF6A1" w:rsidR="006418DD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A654C44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1DBF34E" w14:textId="77777777" w:rsidR="006418DD" w:rsidRPr="00CC7F1F" w:rsidRDefault="006418DD" w:rsidP="00502E08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E119D52" w14:textId="77777777" w:rsidR="006418DD" w:rsidRPr="00CC7F1F" w:rsidRDefault="006418DD" w:rsidP="00502E08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5F6076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D044C74" w14:textId="3C5F5F24" w:rsidR="006418DD" w:rsidRPr="006418DD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28F60A2F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1F17349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E07291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447CDCF2" w14:textId="64A9E7FF" w:rsidR="006418DD" w:rsidRPr="006418DD" w:rsidRDefault="006418DD" w:rsidP="00502E08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CC7F1F" w14:paraId="659B685D" w14:textId="77777777" w:rsidTr="008C783A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068FAA3" w14:textId="0FF82ED2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Week/</w:t>
            </w: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br/>
              <w:t>Phase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14:paraId="26640187" w14:textId="3F28DFF8" w:rsidR="006418DD" w:rsidRPr="00CC7F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  <w:u w:val="single"/>
              </w:rPr>
              <w:t>Key Features</w:t>
            </w:r>
          </w:p>
        </w:tc>
      </w:tr>
      <w:tr w:rsidR="006418DD" w:rsidRPr="00CC7F1F" w14:paraId="74C72A1C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5FFAD33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14:paraId="0CA44935" w14:textId="0C267C0D" w:rsidR="006418DD" w:rsidRPr="006418DD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15993B44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2835E58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17BC306D" w14:textId="77777777" w:rsidTr="006418DD">
        <w:trPr>
          <w:trHeight w:val="2091"/>
          <w:jc w:val="center"/>
        </w:trPr>
        <w:tc>
          <w:tcPr>
            <w:tcW w:w="988" w:type="dxa"/>
            <w:vMerge/>
            <w:vAlign w:val="center"/>
          </w:tcPr>
          <w:p w14:paraId="17A773B4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65D2F9" w14:textId="10BA7096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Ke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495B836E" w14:textId="5B51CCF8" w:rsidR="006418DD" w:rsidRPr="006418DD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56CDFF28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7C28676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8C73A76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E1AC2DE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3B29E1C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6685B63" w14:textId="77777777" w:rsidR="006418DD" w:rsidRPr="00CC7F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97DD41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5C0FB00C" w14:textId="644A7EC6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60E1A75B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BDE3695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E0DAE1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122E5D41" w14:textId="1ABDDC72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CC7F1F" w14:paraId="18F4DBEB" w14:textId="77777777" w:rsidTr="00467682">
        <w:trPr>
          <w:jc w:val="center"/>
        </w:trPr>
        <w:tc>
          <w:tcPr>
            <w:tcW w:w="988" w:type="dxa"/>
            <w:shd w:val="clear" w:color="auto" w:fill="000000" w:themeFill="text1"/>
            <w:vAlign w:val="center"/>
          </w:tcPr>
          <w:p w14:paraId="71C3197A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shd w:val="clear" w:color="auto" w:fill="000000" w:themeFill="text1"/>
          </w:tcPr>
          <w:p w14:paraId="64B543BF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20A8182F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04A57E92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14:paraId="5BF5635B" w14:textId="12DD3FC6" w:rsidR="006418DD" w:rsidRPr="00194F67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>
              <w:rPr>
                <w:rFonts w:ascii="Tw Cen MT" w:hAnsi="Tw Cen MT"/>
                <w:bCs/>
                <w:sz w:val="24"/>
                <w:szCs w:val="24"/>
              </w:rPr>
              <w:t xml:space="preserve"> …</w:t>
            </w:r>
          </w:p>
          <w:p w14:paraId="6FF17C5D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E3CE19D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50B205F2" w14:textId="77777777" w:rsidTr="006418DD">
        <w:trPr>
          <w:trHeight w:val="2352"/>
          <w:jc w:val="center"/>
        </w:trPr>
        <w:tc>
          <w:tcPr>
            <w:tcW w:w="988" w:type="dxa"/>
            <w:vMerge/>
            <w:vAlign w:val="center"/>
          </w:tcPr>
          <w:p w14:paraId="6BB475E0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1AAA62" w14:textId="2EFF571C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</w:p>
          <w:p w14:paraId="73073795" w14:textId="2E246323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76EC41FE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0AC98A5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868D705" w14:textId="27701290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184E80C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490DB5EE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E094082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3FC74EC" w14:textId="77777777" w:rsidR="006418DD" w:rsidRPr="00CC7F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39C108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11AF1AD6" w14:textId="620993D0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05A54FCC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31F30699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350EBFB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61E2B120" w14:textId="1B71F3FF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  <w:tr w:rsidR="006418DD" w:rsidRPr="00CC7F1F" w14:paraId="10CFDA1E" w14:textId="77777777" w:rsidTr="00467682">
        <w:trPr>
          <w:jc w:val="center"/>
        </w:trPr>
        <w:tc>
          <w:tcPr>
            <w:tcW w:w="7792" w:type="dxa"/>
            <w:gridSpan w:val="3"/>
            <w:shd w:val="clear" w:color="auto" w:fill="000000" w:themeFill="text1"/>
            <w:vAlign w:val="center"/>
          </w:tcPr>
          <w:p w14:paraId="3695183E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7BD96BE8" w14:textId="77777777" w:rsidTr="00467682">
        <w:trPr>
          <w:jc w:val="center"/>
        </w:trPr>
        <w:tc>
          <w:tcPr>
            <w:tcW w:w="988" w:type="dxa"/>
            <w:vMerge w:val="restart"/>
            <w:vAlign w:val="center"/>
          </w:tcPr>
          <w:p w14:paraId="10EF7157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6</w:t>
            </w:r>
          </w:p>
        </w:tc>
        <w:tc>
          <w:tcPr>
            <w:tcW w:w="6804" w:type="dxa"/>
            <w:gridSpan w:val="2"/>
          </w:tcPr>
          <w:p w14:paraId="4CDBD22C" w14:textId="6D16A9C7" w:rsidR="006418DD" w:rsidRPr="00194F67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Small Questions:</w:t>
            </w:r>
            <w:r w:rsidR="00194F67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  <w:r w:rsidR="00194F67"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281ACB56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6F7648E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</w:tc>
      </w:tr>
      <w:tr w:rsidR="006418DD" w:rsidRPr="00CC7F1F" w14:paraId="24AE6609" w14:textId="77777777" w:rsidTr="006418DD">
        <w:trPr>
          <w:trHeight w:val="841"/>
          <w:jc w:val="center"/>
        </w:trPr>
        <w:tc>
          <w:tcPr>
            <w:tcW w:w="988" w:type="dxa"/>
            <w:vMerge/>
            <w:vAlign w:val="center"/>
          </w:tcPr>
          <w:p w14:paraId="5F0D98B1" w14:textId="77777777" w:rsidR="006418DD" w:rsidRPr="00240170" w:rsidRDefault="006418DD" w:rsidP="006418DD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522EC05" w14:textId="4BE5C644" w:rsidR="006418DD" w:rsidRDefault="006418DD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 w:rsidRPr="00CC7F1F">
              <w:rPr>
                <w:rFonts w:ascii="Tw Cen MT" w:hAnsi="Tw Cen MT"/>
                <w:b/>
                <w:sz w:val="24"/>
                <w:szCs w:val="24"/>
              </w:rPr>
              <w:t>Key Activities</w:t>
            </w:r>
            <w:r>
              <w:rPr>
                <w:rFonts w:ascii="Tw Cen MT" w:hAnsi="Tw Cen MT"/>
                <w:b/>
                <w:sz w:val="24"/>
                <w:szCs w:val="24"/>
              </w:rPr>
              <w:t>/Resources</w:t>
            </w:r>
            <w:r w:rsidRPr="00CC7F1F">
              <w:rPr>
                <w:rFonts w:ascii="Tw Cen MT" w:hAnsi="Tw Cen MT"/>
                <w:b/>
                <w:sz w:val="24"/>
                <w:szCs w:val="24"/>
              </w:rPr>
              <w:t>:</w:t>
            </w:r>
            <w:r w:rsidR="00194F67">
              <w:rPr>
                <w:rFonts w:ascii="Tw Cen MT" w:hAnsi="Tw Cen MT"/>
                <w:b/>
                <w:sz w:val="24"/>
                <w:szCs w:val="24"/>
              </w:rPr>
              <w:t xml:space="preserve"> </w:t>
            </w:r>
          </w:p>
          <w:p w14:paraId="39045C11" w14:textId="477CC6BE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570DED0D" w14:textId="4C4BE051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5E9600A" w14:textId="3516269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DD34938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28799F72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5CE6A98F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1803C84A" w14:textId="77777777" w:rsidR="006418DD" w:rsidRPr="00CC7F1F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64278397" w14:textId="77777777" w:rsidR="006418DD" w:rsidRPr="00CC7F1F" w:rsidRDefault="006418DD" w:rsidP="006418DD">
            <w:pPr>
              <w:jc w:val="center"/>
              <w:rPr>
                <w:rFonts w:ascii="Tw Cen MT" w:hAnsi="Tw Cen MT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79D233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Retrieval focus:</w:t>
            </w:r>
          </w:p>
          <w:p w14:paraId="7681DC72" w14:textId="4A04B0FB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  <w:p w14:paraId="6EF2ED29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78811F86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</w:p>
          <w:p w14:paraId="0CA34B99" w14:textId="77777777" w:rsidR="006418DD" w:rsidRDefault="006418DD" w:rsidP="006418DD">
            <w:pPr>
              <w:rPr>
                <w:rFonts w:ascii="Tw Cen MT" w:hAnsi="Tw Cen MT"/>
                <w:b/>
                <w:sz w:val="24"/>
                <w:szCs w:val="24"/>
              </w:rPr>
            </w:pPr>
            <w:r>
              <w:rPr>
                <w:rFonts w:ascii="Tw Cen MT" w:hAnsi="Tw Cen MT"/>
                <w:b/>
                <w:sz w:val="24"/>
                <w:szCs w:val="24"/>
              </w:rPr>
              <w:t>Independent study:</w:t>
            </w:r>
          </w:p>
          <w:p w14:paraId="4A2265F6" w14:textId="4506C0E6" w:rsidR="006418DD" w:rsidRPr="00194F67" w:rsidRDefault="00194F67" w:rsidP="006418DD">
            <w:pPr>
              <w:rPr>
                <w:rFonts w:ascii="Tw Cen MT" w:hAnsi="Tw Cen MT"/>
                <w:bCs/>
                <w:sz w:val="24"/>
                <w:szCs w:val="24"/>
              </w:rPr>
            </w:pPr>
            <w:r>
              <w:rPr>
                <w:rFonts w:ascii="Tw Cen MT" w:hAnsi="Tw Cen MT"/>
                <w:bCs/>
                <w:sz w:val="24"/>
                <w:szCs w:val="24"/>
              </w:rPr>
              <w:t>…</w:t>
            </w:r>
          </w:p>
        </w:tc>
      </w:tr>
    </w:tbl>
    <w:p w14:paraId="08EDBC9A" w14:textId="77777777" w:rsidR="001F6168" w:rsidRPr="00BF2FB6" w:rsidRDefault="001F6168" w:rsidP="00E25346">
      <w:pPr>
        <w:rPr>
          <w:rFonts w:ascii="Tw Cen MT" w:hAnsi="Tw Cen MT" w:cstheme="minorHAnsi"/>
          <w:b/>
          <w:bCs/>
          <w:sz w:val="24"/>
          <w:szCs w:val="24"/>
        </w:rPr>
      </w:pPr>
    </w:p>
    <w:sectPr w:rsidR="001F6168" w:rsidRPr="00BF2FB6" w:rsidSect="00467682">
      <w:type w:val="continuous"/>
      <w:pgSz w:w="16838" w:h="11906" w:orient="landscape"/>
      <w:pgMar w:top="709" w:right="536" w:bottom="568" w:left="709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D6A28"/>
    <w:multiLevelType w:val="hybridMultilevel"/>
    <w:tmpl w:val="87F2C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85DDE"/>
    <w:multiLevelType w:val="hybridMultilevel"/>
    <w:tmpl w:val="6600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444C"/>
    <w:multiLevelType w:val="hybridMultilevel"/>
    <w:tmpl w:val="A8A8AB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80C0A"/>
    <w:multiLevelType w:val="hybridMultilevel"/>
    <w:tmpl w:val="07D26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7006B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3EB7"/>
    <w:multiLevelType w:val="hybridMultilevel"/>
    <w:tmpl w:val="5F662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99F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97B84"/>
    <w:multiLevelType w:val="hybridMultilevel"/>
    <w:tmpl w:val="E28A5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67309"/>
    <w:multiLevelType w:val="hybridMultilevel"/>
    <w:tmpl w:val="5642B73C"/>
    <w:lvl w:ilvl="0" w:tplc="26C4918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451"/>
    <w:multiLevelType w:val="hybridMultilevel"/>
    <w:tmpl w:val="544AE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2C0296"/>
    <w:multiLevelType w:val="hybridMultilevel"/>
    <w:tmpl w:val="AA4C9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724E"/>
    <w:multiLevelType w:val="hybridMultilevel"/>
    <w:tmpl w:val="C3C8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0542"/>
    <w:multiLevelType w:val="hybridMultilevel"/>
    <w:tmpl w:val="D01EC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B934E7"/>
    <w:multiLevelType w:val="hybridMultilevel"/>
    <w:tmpl w:val="A4FE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B74"/>
    <w:multiLevelType w:val="hybridMultilevel"/>
    <w:tmpl w:val="2BF6F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83923"/>
    <w:multiLevelType w:val="hybridMultilevel"/>
    <w:tmpl w:val="46B86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B2F88"/>
    <w:multiLevelType w:val="hybridMultilevel"/>
    <w:tmpl w:val="0180C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FC3BEA"/>
    <w:multiLevelType w:val="hybridMultilevel"/>
    <w:tmpl w:val="6E263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2E51"/>
    <w:multiLevelType w:val="hybridMultilevel"/>
    <w:tmpl w:val="51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87D88"/>
    <w:multiLevelType w:val="hybridMultilevel"/>
    <w:tmpl w:val="61B25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2D6A1E"/>
    <w:multiLevelType w:val="hybridMultilevel"/>
    <w:tmpl w:val="9A7279C2"/>
    <w:lvl w:ilvl="0" w:tplc="C4105580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40E13"/>
    <w:multiLevelType w:val="hybridMultilevel"/>
    <w:tmpl w:val="363CE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70CAD"/>
    <w:multiLevelType w:val="hybridMultilevel"/>
    <w:tmpl w:val="699A8E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EF5"/>
    <w:multiLevelType w:val="hybridMultilevel"/>
    <w:tmpl w:val="B8BA3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7"/>
  </w:num>
  <w:num w:numId="5">
    <w:abstractNumId w:val="14"/>
  </w:num>
  <w:num w:numId="6">
    <w:abstractNumId w:val="4"/>
  </w:num>
  <w:num w:numId="7">
    <w:abstractNumId w:val="5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8"/>
  </w:num>
  <w:num w:numId="13">
    <w:abstractNumId w:val="23"/>
  </w:num>
  <w:num w:numId="14">
    <w:abstractNumId w:val="9"/>
  </w:num>
  <w:num w:numId="15">
    <w:abstractNumId w:val="19"/>
  </w:num>
  <w:num w:numId="16">
    <w:abstractNumId w:val="11"/>
  </w:num>
  <w:num w:numId="17">
    <w:abstractNumId w:val="0"/>
  </w:num>
  <w:num w:numId="18">
    <w:abstractNumId w:val="12"/>
  </w:num>
  <w:num w:numId="19">
    <w:abstractNumId w:val="2"/>
  </w:num>
  <w:num w:numId="20">
    <w:abstractNumId w:val="8"/>
  </w:num>
  <w:num w:numId="21">
    <w:abstractNumId w:val="22"/>
  </w:num>
  <w:num w:numId="22">
    <w:abstractNumId w:val="20"/>
  </w:num>
  <w:num w:numId="23">
    <w:abstractNumId w:val="21"/>
  </w:num>
  <w:num w:numId="24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98"/>
    <w:rsid w:val="00011F42"/>
    <w:rsid w:val="0001772C"/>
    <w:rsid w:val="000644F8"/>
    <w:rsid w:val="00092283"/>
    <w:rsid w:val="000A04D0"/>
    <w:rsid w:val="000B724A"/>
    <w:rsid w:val="000C0B8B"/>
    <w:rsid w:val="000F48DD"/>
    <w:rsid w:val="00112FDB"/>
    <w:rsid w:val="00132C48"/>
    <w:rsid w:val="00143B28"/>
    <w:rsid w:val="001645EC"/>
    <w:rsid w:val="001731A3"/>
    <w:rsid w:val="00174D78"/>
    <w:rsid w:val="00177925"/>
    <w:rsid w:val="00177BC4"/>
    <w:rsid w:val="00194F67"/>
    <w:rsid w:val="00197998"/>
    <w:rsid w:val="001B5653"/>
    <w:rsid w:val="001F6168"/>
    <w:rsid w:val="00206B05"/>
    <w:rsid w:val="0020734F"/>
    <w:rsid w:val="002255D7"/>
    <w:rsid w:val="002674FB"/>
    <w:rsid w:val="002772BA"/>
    <w:rsid w:val="002A1025"/>
    <w:rsid w:val="002B2B34"/>
    <w:rsid w:val="002F5E68"/>
    <w:rsid w:val="00351C78"/>
    <w:rsid w:val="003A3B9F"/>
    <w:rsid w:val="003B3732"/>
    <w:rsid w:val="003F7447"/>
    <w:rsid w:val="0040383E"/>
    <w:rsid w:val="0040790A"/>
    <w:rsid w:val="00445538"/>
    <w:rsid w:val="004562B8"/>
    <w:rsid w:val="00467682"/>
    <w:rsid w:val="00474E6C"/>
    <w:rsid w:val="00496F9F"/>
    <w:rsid w:val="004B142B"/>
    <w:rsid w:val="004C0329"/>
    <w:rsid w:val="004F0451"/>
    <w:rsid w:val="005035C2"/>
    <w:rsid w:val="005037E3"/>
    <w:rsid w:val="0051380D"/>
    <w:rsid w:val="005232A8"/>
    <w:rsid w:val="00523C5A"/>
    <w:rsid w:val="00524513"/>
    <w:rsid w:val="0057057B"/>
    <w:rsid w:val="005F1EEF"/>
    <w:rsid w:val="006418DD"/>
    <w:rsid w:val="00646439"/>
    <w:rsid w:val="006B6095"/>
    <w:rsid w:val="006D798F"/>
    <w:rsid w:val="0070519D"/>
    <w:rsid w:val="00710727"/>
    <w:rsid w:val="00712A5C"/>
    <w:rsid w:val="007406FD"/>
    <w:rsid w:val="0074365A"/>
    <w:rsid w:val="00750979"/>
    <w:rsid w:val="007F56F0"/>
    <w:rsid w:val="00826996"/>
    <w:rsid w:val="00892CDD"/>
    <w:rsid w:val="008D2D3E"/>
    <w:rsid w:val="008F5DA3"/>
    <w:rsid w:val="00955765"/>
    <w:rsid w:val="009A026F"/>
    <w:rsid w:val="009C0471"/>
    <w:rsid w:val="00A06AF5"/>
    <w:rsid w:val="00A17A00"/>
    <w:rsid w:val="00A17D4E"/>
    <w:rsid w:val="00A35C10"/>
    <w:rsid w:val="00A50BEE"/>
    <w:rsid w:val="00A57527"/>
    <w:rsid w:val="00A6520B"/>
    <w:rsid w:val="00A94B5B"/>
    <w:rsid w:val="00AB240A"/>
    <w:rsid w:val="00AC4AC6"/>
    <w:rsid w:val="00AE1F62"/>
    <w:rsid w:val="00AF7543"/>
    <w:rsid w:val="00B23D8C"/>
    <w:rsid w:val="00B3119C"/>
    <w:rsid w:val="00B409F3"/>
    <w:rsid w:val="00B64FCF"/>
    <w:rsid w:val="00B82F43"/>
    <w:rsid w:val="00BC4FE2"/>
    <w:rsid w:val="00BD77B0"/>
    <w:rsid w:val="00BE1005"/>
    <w:rsid w:val="00BE3693"/>
    <w:rsid w:val="00BF2FB6"/>
    <w:rsid w:val="00C03C38"/>
    <w:rsid w:val="00C37957"/>
    <w:rsid w:val="00C66849"/>
    <w:rsid w:val="00C96551"/>
    <w:rsid w:val="00CA4FC9"/>
    <w:rsid w:val="00D11A60"/>
    <w:rsid w:val="00D558A0"/>
    <w:rsid w:val="00D7620F"/>
    <w:rsid w:val="00DC4A86"/>
    <w:rsid w:val="00DF4B36"/>
    <w:rsid w:val="00E1416D"/>
    <w:rsid w:val="00E25346"/>
    <w:rsid w:val="00E6587D"/>
    <w:rsid w:val="00EA1ED5"/>
    <w:rsid w:val="00ED3E69"/>
    <w:rsid w:val="00EE374A"/>
    <w:rsid w:val="00EE6B79"/>
    <w:rsid w:val="00F1108F"/>
    <w:rsid w:val="00F26CB2"/>
    <w:rsid w:val="00F2768F"/>
    <w:rsid w:val="00F33ED3"/>
    <w:rsid w:val="00F42934"/>
    <w:rsid w:val="00F83886"/>
    <w:rsid w:val="00F83E9E"/>
    <w:rsid w:val="00F9173B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B867"/>
  <w15:chartTrackingRefBased/>
  <w15:docId w15:val="{8AB9A98D-D972-4935-B143-143CF5CF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B9F"/>
    <w:pPr>
      <w:ind w:left="720"/>
      <w:contextualSpacing/>
    </w:pPr>
  </w:style>
  <w:style w:type="paragraph" w:styleId="NoSpacing">
    <w:name w:val="No Spacing"/>
    <w:uiPriority w:val="1"/>
    <w:qFormat/>
    <w:rsid w:val="002772B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1380D"/>
    <w:rPr>
      <w:rFonts w:ascii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32C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MTeachingtextnobullets">
    <w:name w:val="SM Teaching text no bullets"/>
    <w:basedOn w:val="Normal"/>
    <w:qFormat/>
    <w:rsid w:val="00F33ED3"/>
    <w:pPr>
      <w:suppressAutoHyphens/>
      <w:spacing w:before="60" w:after="60" w:line="260" w:lineRule="exact"/>
    </w:pPr>
    <w:rPr>
      <w:rFonts w:ascii="Arial" w:eastAsia="Calibri" w:hAnsi="Arial" w:cs="Arial"/>
      <w:noProof/>
      <w:color w:val="BF8F00" w:themeColor="accent4" w:themeShade="BF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710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1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enecalearning.com/classroom/course/419c7523-d408-4bc7-9b96-f7f12abdacae/section/ba2ff895-06bc-4053-950f-15f207d97d38/session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app.senecalearning.com/classroom/course/419c7523-d408-4bc7-9b96-f7f12abdacae/section/b6c07589-15f7-4ff0-969e-11343f86646c/session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chers.thenational.academy/units/particles-f50c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C93CBD0DDC44C80869436241DA6CB" ma:contentTypeVersion="6" ma:contentTypeDescription="Create a new document." ma:contentTypeScope="" ma:versionID="dd7c6e48a64ce88fc66c26e1ec74427b">
  <xsd:schema xmlns:xsd="http://www.w3.org/2001/XMLSchema" xmlns:xs="http://www.w3.org/2001/XMLSchema" xmlns:p="http://schemas.microsoft.com/office/2006/metadata/properties" xmlns:ns2="4e459a06-aae7-4c32-aa04-3dd71431572a" xmlns:ns3="074309ac-84c7-436d-bc06-54725fe0502c" targetNamespace="http://schemas.microsoft.com/office/2006/metadata/properties" ma:root="true" ma:fieldsID="dc8b12b430438def2737047d92ca8ca9" ns2:_="" ns3:_="">
    <xsd:import namespace="4e459a06-aae7-4c32-aa04-3dd71431572a"/>
    <xsd:import namespace="074309ac-84c7-436d-bc06-54725fe05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59a06-aae7-4c32-aa04-3dd714315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309ac-84c7-436d-bc06-54725fe05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EECEF3-F604-4564-8CD1-2A60EBB0A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47E18-8189-4561-9DC6-771878DE793A}"/>
</file>

<file path=customXml/itemProps3.xml><?xml version="1.0" encoding="utf-8"?>
<ds:datastoreItem xmlns:ds="http://schemas.openxmlformats.org/officeDocument/2006/customXml" ds:itemID="{6A28939E-6C92-426D-8347-A0F940EAEC5A}"/>
</file>

<file path=customXml/itemProps4.xml><?xml version="1.0" encoding="utf-8"?>
<ds:datastoreItem xmlns:ds="http://schemas.openxmlformats.org/officeDocument/2006/customXml" ds:itemID="{21D1F9AD-8E37-43E7-98B0-E44DCBC0D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Kelly</dc:creator>
  <cp:keywords/>
  <dc:description/>
  <cp:lastModifiedBy>L McClure</cp:lastModifiedBy>
  <cp:revision>7</cp:revision>
  <dcterms:created xsi:type="dcterms:W3CDTF">2021-07-07T16:25:00Z</dcterms:created>
  <dcterms:modified xsi:type="dcterms:W3CDTF">2021-07-08T08:29:00Z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0x010100D04C93CBD0DDC44C80869436241DA6CB</vt:lpwstr>
  </property>
</Properties>
</file>